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header1.xml" ContentType="application/vnd.openxmlformats-officedocument.wordprocessingml.header+xml"/>
  <Override PartName="/word/document.xml" ContentType="application/vnd.openxmlformats-officedocument.wordprocessingml.document.main+xml"/>
  <Override PartName="/word/footer1.xml" ContentType="application/vnd.openxmlformats-officedocument.wordprocessingml.foot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jc w:val="center"/>
        <w:outlineLvl w:val="0"/>
        <w:rPr/>
      </w:pPr>
      <w:r>
        <w:rPr>
          <w:b/>
          <w:bCs/>
          <w:sz w:val="32"/>
          <w:szCs w:val="32"/>
          <w:lang w:eastAsia="zh-TW"/>
        </w:rPr>
        <w:t>Thickness Dependent Electronic Properties of Pt</w:t>
      </w:r>
    </w:p>
    <w:p>
      <w:pPr>
        <w:pStyle w:val="Normal"/>
        <w:numPr>
          <w:ilvl w:val="0"/>
          <w:numId w:val="0"/>
        </w:numPr>
        <w:jc w:val="center"/>
        <w:outlineLvl w:val="0"/>
        <w:rPr/>
      </w:pPr>
      <w:r>
        <w:rPr>
          <w:b/>
          <w:bCs/>
          <w:sz w:val="32"/>
          <w:szCs w:val="32"/>
          <w:lang w:eastAsia="zh-TW"/>
        </w:rPr>
        <w:t>Dichalcogenides – PtX</w:t>
      </w:r>
      <w:r>
        <w:rPr>
          <w:b/>
          <w:bCs/>
          <w:sz w:val="32"/>
          <w:szCs w:val="32"/>
          <w:vertAlign w:val="subscript"/>
          <w:lang w:eastAsia="zh-TW"/>
        </w:rPr>
        <w:t>2</w:t>
      </w:r>
      <w:r>
        <w:rPr>
          <w:b/>
          <w:bCs/>
          <w:sz w:val="32"/>
          <w:szCs w:val="32"/>
          <w:lang w:eastAsia="zh-TW"/>
        </w:rPr>
        <w:t xml:space="preserve"> (X = S, Se, and Te)</w:t>
      </w:r>
    </w:p>
    <w:p>
      <w:pPr>
        <w:pStyle w:val="Normal"/>
        <w:ind w:firstLine="340"/>
        <w:jc w:val="center"/>
        <w:rPr>
          <w:sz w:val="24"/>
          <w:szCs w:val="24"/>
        </w:rPr>
      </w:pPr>
      <w:r>
        <w:rPr>
          <w:sz w:val="24"/>
          <w:szCs w:val="24"/>
        </w:rPr>
      </w:r>
    </w:p>
    <w:p>
      <w:pPr>
        <w:pStyle w:val="Normal"/>
        <w:numPr>
          <w:ilvl w:val="0"/>
          <w:numId w:val="0"/>
        </w:numPr>
        <w:ind w:firstLine="340"/>
        <w:jc w:val="center"/>
        <w:outlineLvl w:val="0"/>
        <w:rPr>
          <w:position w:val="0"/>
          <w:sz w:val="22"/>
          <w:vertAlign w:val="baseline"/>
        </w:rPr>
      </w:pPr>
      <w:r>
        <w:rPr>
          <w:position w:val="0"/>
          <w:sz w:val="24"/>
          <w:sz w:val="24"/>
          <w:szCs w:val="24"/>
          <w:u w:val="single"/>
          <w:vertAlign w:val="baseline"/>
        </w:rPr>
        <w:t>Rovi Angelo B. Villaos</w:t>
      </w:r>
      <w:r>
        <w:rPr>
          <w:sz w:val="24"/>
          <w:szCs w:val="24"/>
          <w:vertAlign w:val="superscript"/>
        </w:rPr>
        <w:t>1</w:t>
      </w:r>
      <w:r>
        <w:rPr>
          <w:position w:val="0"/>
          <w:sz w:val="24"/>
          <w:sz w:val="24"/>
          <w:szCs w:val="24"/>
          <w:vertAlign w:val="baseline"/>
        </w:rPr>
        <w:t>, Christian P. Crisostomo</w:t>
      </w:r>
      <w:r>
        <w:rPr>
          <w:sz w:val="24"/>
          <w:szCs w:val="24"/>
          <w:vertAlign w:val="superscript"/>
        </w:rPr>
        <w:t>1</w:t>
      </w:r>
      <w:r>
        <w:rPr>
          <w:position w:val="0"/>
          <w:sz w:val="24"/>
          <w:sz w:val="24"/>
          <w:szCs w:val="24"/>
          <w:vertAlign w:val="baseline"/>
        </w:rPr>
        <w:t>, Zhi-Quan Huang</w:t>
      </w:r>
      <w:r>
        <w:rPr>
          <w:sz w:val="24"/>
          <w:szCs w:val="24"/>
          <w:vertAlign w:val="superscript"/>
        </w:rPr>
        <w:t>1</w:t>
      </w:r>
      <w:r>
        <w:rPr>
          <w:position w:val="0"/>
          <w:sz w:val="24"/>
          <w:sz w:val="24"/>
          <w:szCs w:val="24"/>
          <w:vertAlign w:val="baseline"/>
        </w:rPr>
        <w:t>,</w:t>
      </w:r>
    </w:p>
    <w:p>
      <w:pPr>
        <w:pStyle w:val="Normal"/>
        <w:numPr>
          <w:ilvl w:val="0"/>
          <w:numId w:val="0"/>
        </w:numPr>
        <w:ind w:firstLine="340"/>
        <w:jc w:val="center"/>
        <w:outlineLvl w:val="0"/>
        <w:rPr>
          <w:position w:val="0"/>
          <w:sz w:val="22"/>
          <w:vertAlign w:val="baseline"/>
        </w:rPr>
      </w:pPr>
      <w:r>
        <w:rPr>
          <w:position w:val="0"/>
          <w:sz w:val="24"/>
          <w:sz w:val="24"/>
          <w:szCs w:val="24"/>
          <w:vertAlign w:val="baseline"/>
        </w:rPr>
        <w:t>Shin-Ming Huang</w:t>
      </w:r>
      <w:r>
        <w:rPr>
          <w:sz w:val="24"/>
          <w:szCs w:val="24"/>
          <w:vertAlign w:val="superscript"/>
        </w:rPr>
        <w:t>1</w:t>
      </w:r>
      <w:r>
        <w:rPr>
          <w:position w:val="0"/>
          <w:sz w:val="24"/>
          <w:sz w:val="24"/>
          <w:szCs w:val="24"/>
          <w:vertAlign w:val="baseline"/>
        </w:rPr>
        <w:t>, Allan Abraham B. Padama</w:t>
      </w:r>
      <w:r>
        <w:rPr>
          <w:sz w:val="24"/>
          <w:szCs w:val="24"/>
          <w:vertAlign w:val="superscript"/>
        </w:rPr>
        <w:t>2</w:t>
      </w:r>
      <w:r>
        <w:rPr>
          <w:position w:val="0"/>
          <w:sz w:val="24"/>
          <w:sz w:val="24"/>
          <w:szCs w:val="24"/>
          <w:vertAlign w:val="baseline"/>
        </w:rPr>
        <w:t>, Marvin A. Albao</w:t>
      </w:r>
      <w:r>
        <w:rPr>
          <w:sz w:val="24"/>
          <w:szCs w:val="24"/>
          <w:vertAlign w:val="superscript"/>
        </w:rPr>
        <w:t>2</w:t>
      </w:r>
      <w:r>
        <w:rPr>
          <w:position w:val="0"/>
          <w:sz w:val="24"/>
          <w:sz w:val="24"/>
          <w:szCs w:val="24"/>
          <w:vertAlign w:val="baseline"/>
        </w:rPr>
        <w:t>, Hsin Lin</w:t>
      </w:r>
      <w:r>
        <w:rPr>
          <w:sz w:val="24"/>
          <w:szCs w:val="24"/>
          <w:vertAlign w:val="superscript"/>
        </w:rPr>
        <w:t>3</w:t>
      </w:r>
      <w:r>
        <w:rPr>
          <w:position w:val="0"/>
          <w:sz w:val="24"/>
          <w:sz w:val="24"/>
          <w:szCs w:val="24"/>
          <w:vertAlign w:val="baseline"/>
        </w:rPr>
        <w:t>, Feng-Chuan Chuang</w:t>
      </w:r>
      <w:r>
        <w:rPr>
          <w:sz w:val="24"/>
          <w:szCs w:val="24"/>
          <w:vertAlign w:val="superscript"/>
        </w:rPr>
        <w:t>1*</w:t>
      </w:r>
    </w:p>
    <w:p>
      <w:pPr>
        <w:pStyle w:val="Normal"/>
        <w:ind w:firstLine="340"/>
        <w:jc w:val="center"/>
        <w:rPr>
          <w:sz w:val="24"/>
          <w:szCs w:val="24"/>
        </w:rPr>
      </w:pPr>
      <w:r>
        <w:rPr>
          <w:sz w:val="24"/>
          <w:szCs w:val="24"/>
        </w:rPr>
      </w:r>
    </w:p>
    <w:p>
      <w:pPr>
        <w:pStyle w:val="Normal"/>
        <w:ind w:firstLine="340"/>
        <w:jc w:val="center"/>
        <w:rPr/>
      </w:pPr>
      <w:r>
        <w:rPr>
          <w:i/>
          <w:iCs/>
          <w:sz w:val="24"/>
          <w:szCs w:val="24"/>
          <w:vertAlign w:val="superscript"/>
        </w:rPr>
        <w:t>1</w:t>
      </w:r>
      <w:r>
        <w:rPr>
          <w:i/>
          <w:iCs/>
          <w:sz w:val="24"/>
          <w:szCs w:val="24"/>
        </w:rPr>
        <w:t>Department of Physics, National Sun Yat-Sen University, Kaohsiung, Taiwan</w:t>
      </w:r>
    </w:p>
    <w:p>
      <w:pPr>
        <w:pStyle w:val="Normal"/>
        <w:ind w:firstLine="340"/>
        <w:jc w:val="center"/>
        <w:rPr/>
      </w:pPr>
      <w:r>
        <w:rPr>
          <w:i/>
          <w:iCs/>
          <w:sz w:val="24"/>
          <w:szCs w:val="24"/>
          <w:vertAlign w:val="superscript"/>
        </w:rPr>
        <w:t>2</w:t>
      </w:r>
      <w:r>
        <w:rPr>
          <w:i/>
          <w:iCs/>
          <w:sz w:val="24"/>
          <w:szCs w:val="24"/>
        </w:rPr>
        <w:t>Institute of Mathematical Sciences and Physics, College of Arts and Sciences,</w:t>
      </w:r>
    </w:p>
    <w:p>
      <w:pPr>
        <w:pStyle w:val="Normal"/>
        <w:ind w:firstLine="340"/>
        <w:jc w:val="center"/>
        <w:rPr/>
      </w:pPr>
      <w:r>
        <w:rPr>
          <w:i/>
          <w:iCs/>
          <w:sz w:val="24"/>
          <w:szCs w:val="24"/>
        </w:rPr>
        <w:t>University of the Philippines Los Baños, College, Laguna, Philippines</w:t>
      </w:r>
    </w:p>
    <w:p>
      <w:pPr>
        <w:pStyle w:val="Normal"/>
        <w:ind w:firstLine="340"/>
        <w:jc w:val="center"/>
        <w:rPr/>
      </w:pPr>
      <w:r>
        <w:rPr>
          <w:i/>
          <w:iCs/>
          <w:sz w:val="24"/>
          <w:szCs w:val="24"/>
          <w:vertAlign w:val="superscript"/>
        </w:rPr>
        <w:t>3</w:t>
      </w:r>
      <w:r>
        <w:rPr>
          <w:i/>
          <w:iCs/>
          <w:sz w:val="24"/>
          <w:szCs w:val="24"/>
        </w:rPr>
        <w:t>Institute of Physics, Academia Sinica, Taipei, Taiwan</w:t>
      </w:r>
    </w:p>
    <w:p>
      <w:pPr>
        <w:pStyle w:val="Addresses"/>
        <w:jc w:val="center"/>
        <w:rPr>
          <w:rFonts w:eastAsia="Malgun Gothic"/>
          <w:lang w:eastAsia="ko-KR"/>
        </w:rPr>
      </w:pPr>
      <w:r>
        <w:rPr>
          <w:rFonts w:eastAsia="Malgun Gothic"/>
          <w:lang w:eastAsia="ko-KR"/>
        </w:rPr>
      </w:r>
    </w:p>
    <w:p>
      <w:pPr>
        <w:pStyle w:val="Addresses"/>
        <w:jc w:val="center"/>
        <w:rPr/>
      </w:pPr>
      <w:r>
        <w:rPr>
          <w:rFonts w:eastAsia="Malgun Gothic"/>
          <w:vertAlign w:val="superscript"/>
          <w:lang w:eastAsia="ko-KR"/>
        </w:rPr>
        <w:t>*</w:t>
      </w:r>
      <w:r>
        <w:rPr>
          <w:rFonts w:eastAsia="Malgun Gothic"/>
          <w:lang w:eastAsia="ko-KR"/>
        </w:rPr>
        <w:t xml:space="preserve">E-mail: </w:t>
      </w:r>
      <w:r>
        <w:rPr>
          <w:rFonts w:eastAsia="Malgun Gothic" w:ascii="Times" w:hAnsi="Times"/>
          <w:color w:val="000000"/>
          <w:u w:val="none"/>
          <w:lang w:eastAsia="ko-KR"/>
        </w:rPr>
        <w:t>fchuang@mail.nsysu.edu.tw</w:t>
      </w:r>
    </w:p>
    <w:p>
      <w:pPr>
        <w:pStyle w:val="Normal"/>
        <w:ind w:firstLine="340"/>
        <w:rPr>
          <w:sz w:val="24"/>
          <w:szCs w:val="24"/>
        </w:rPr>
      </w:pPr>
      <w:r>
        <w:rPr/>
      </w:r>
    </w:p>
    <w:p>
      <w:pPr>
        <w:pStyle w:val="Normal"/>
        <w:ind w:hanging="0"/>
        <w:rPr/>
      </w:pPr>
      <w:r>
        <w:rPr>
          <w:sz w:val="24"/>
          <w:szCs w:val="24"/>
        </w:rPr>
        <w:t>Using first-principles calculation, we explore the tunability of the electronic properties of PtX</w:t>
      </w:r>
      <w:r>
        <w:rPr>
          <w:sz w:val="24"/>
          <w:szCs w:val="24"/>
          <w:vertAlign w:val="subscript"/>
        </w:rPr>
        <w:t>2</w:t>
      </w:r>
      <w:r>
        <w:rPr>
          <w:sz w:val="24"/>
          <w:szCs w:val="24"/>
        </w:rPr>
        <w:t xml:space="preserve"> (X = S, Se, and Te) with respect to the film thickness. We examine different known structures, including 1T, 2H, and 3R. For bulk and layered structures (1 to 10 layers), octahedral 1T is the most stable. Surprisingly, we also find that the 3R structure has comparable stability relative to the 1T, implying possible synthesis of 3R. For a bulk 1T structure, PtS</w:t>
      </w:r>
      <w:r>
        <w:rPr>
          <w:sz w:val="24"/>
          <w:szCs w:val="24"/>
          <w:vertAlign w:val="subscript"/>
        </w:rPr>
        <w:t>2</w:t>
      </w:r>
      <w:r>
        <w:rPr>
          <w:sz w:val="24"/>
          <w:szCs w:val="24"/>
        </w:rPr>
        <w:t xml:space="preserve"> is semiconducting with an indirect band gap of 0.25eV, while PtSe</w:t>
      </w:r>
      <w:r>
        <w:rPr>
          <w:sz w:val="24"/>
          <w:szCs w:val="24"/>
          <w:vertAlign w:val="subscript"/>
        </w:rPr>
        <w:t>2</w:t>
      </w:r>
      <w:r>
        <w:rPr>
          <w:sz w:val="24"/>
          <w:szCs w:val="24"/>
        </w:rPr>
        <w:t xml:space="preserve"> and PtTe</w:t>
      </w:r>
      <w:r>
        <w:rPr>
          <w:sz w:val="24"/>
          <w:szCs w:val="24"/>
          <w:vertAlign w:val="subscript"/>
        </w:rPr>
        <w:t>2</w:t>
      </w:r>
      <w:r>
        <w:rPr>
          <w:sz w:val="24"/>
          <w:szCs w:val="24"/>
        </w:rPr>
        <w:t xml:space="preserve"> are both semi-metallic. Still, all their corresponding monolayers exhibit an indirect semiconducting phase with band gaps of 1.68eV, 1.18eV, and 0.40eV for PtS</w:t>
      </w:r>
      <w:r>
        <w:rPr>
          <w:sz w:val="24"/>
          <w:szCs w:val="24"/>
          <w:vertAlign w:val="subscript"/>
        </w:rPr>
        <w:t>2</w:t>
      </w:r>
      <w:r>
        <w:rPr>
          <w:sz w:val="24"/>
          <w:szCs w:val="24"/>
        </w:rPr>
        <w:t>, PtSe</w:t>
      </w:r>
      <w:r>
        <w:rPr>
          <w:sz w:val="24"/>
          <w:szCs w:val="24"/>
          <w:vertAlign w:val="subscript"/>
        </w:rPr>
        <w:t>2</w:t>
      </w:r>
      <w:r>
        <w:rPr>
          <w:sz w:val="24"/>
          <w:szCs w:val="24"/>
        </w:rPr>
        <w:t>, and PtTe</w:t>
      </w:r>
      <w:r>
        <w:rPr>
          <w:sz w:val="24"/>
          <w:szCs w:val="24"/>
          <w:vertAlign w:val="subscript"/>
        </w:rPr>
        <w:t>2</w:t>
      </w:r>
      <w:r>
        <w:rPr>
          <w:sz w:val="24"/>
          <w:szCs w:val="24"/>
        </w:rPr>
        <w:t>, respectively. For the layer dependence of band properties, we observe that all PtX</w:t>
      </w:r>
      <w:r>
        <w:rPr>
          <w:sz w:val="24"/>
          <w:szCs w:val="24"/>
          <w:vertAlign w:val="subscript"/>
        </w:rPr>
        <w:t>2</w:t>
      </w:r>
      <w:r>
        <w:rPr>
          <w:sz w:val="24"/>
          <w:szCs w:val="24"/>
        </w:rPr>
        <w:t xml:space="preserve"> transition metal dichalcogenides (TMDs) manifest decreasing/closing of indirect bandgap with increasing thickness, a consequence of quantum confinement and interlayer interaction. Moreover, we discover that applying strain can manipulate van Hove singularity resulting to high density of states at the maximum valence band. Our results show that the sensitivity and tunability of electronic properties of PtX</w:t>
      </w:r>
      <w:r>
        <w:rPr>
          <w:sz w:val="24"/>
          <w:szCs w:val="24"/>
          <w:vertAlign w:val="subscript"/>
        </w:rPr>
        <w:t>2</w:t>
      </w:r>
      <w:r>
        <w:rPr>
          <w:sz w:val="24"/>
          <w:szCs w:val="24"/>
        </w:rPr>
        <w:t xml:space="preserve"> pave a new path for future potential applications.</w:t>
      </w:r>
    </w:p>
    <w:p>
      <w:pPr>
        <w:pStyle w:val="Normal"/>
        <w:spacing w:before="60" w:after="0"/>
        <w:rPr>
          <w:sz w:val="24"/>
          <w:szCs w:val="24"/>
        </w:rPr>
      </w:pPr>
      <w:r>
        <w:rPr>
          <w:sz w:val="24"/>
          <w:szCs w:val="24"/>
        </w:rPr>
      </w:r>
    </w:p>
    <w:p>
      <w:pPr>
        <w:pStyle w:val="Normal"/>
        <w:spacing w:before="60" w:after="0"/>
        <w:rPr>
          <w:sz w:val="24"/>
          <w:szCs w:val="24"/>
        </w:rPr>
      </w:pPr>
      <w:r>
        <w:rPr>
          <w:sz w:val="24"/>
          <w:szCs w:val="24"/>
        </w:rPr>
      </w:r>
    </w:p>
    <w:p>
      <w:pPr>
        <w:pStyle w:val="Normal"/>
        <w:spacing w:before="60" w:after="0"/>
        <w:rPr>
          <w:sz w:val="24"/>
          <w:szCs w:val="24"/>
        </w:rPr>
      </w:pPr>
      <w:r>
        <w:rPr>
          <w:sz w:val="24"/>
          <w:szCs w:val="24"/>
        </w:rPr>
      </w:r>
    </w:p>
    <w:p>
      <w:pPr>
        <w:pStyle w:val="Normal"/>
        <w:spacing w:before="60" w:after="0"/>
        <w:rPr>
          <w:sz w:val="24"/>
          <w:szCs w:val="24"/>
        </w:rPr>
      </w:pPr>
      <w:r>
        <w:rPr>
          <w:sz w:val="24"/>
          <w:szCs w:val="24"/>
        </w:rPr>
      </w:r>
    </w:p>
    <w:p>
      <w:pPr>
        <w:pStyle w:val="Normal"/>
        <w:spacing w:before="60" w:after="0"/>
        <w:rPr>
          <w:sz w:val="24"/>
          <w:szCs w:val="24"/>
        </w:rPr>
      </w:pPr>
      <w:r>
        <w:rPr>
          <w:sz w:val="24"/>
          <w:szCs w:val="24"/>
        </w:rPr>
      </w:r>
    </w:p>
    <w:p>
      <w:pPr>
        <w:pStyle w:val="Normal"/>
        <w:spacing w:before="60" w:after="0"/>
        <w:rPr>
          <w:sz w:val="24"/>
          <w:szCs w:val="24"/>
        </w:rPr>
      </w:pPr>
      <w:r>
        <w:rPr>
          <w:sz w:val="24"/>
          <w:szCs w:val="24"/>
        </w:rPr>
      </w:r>
    </w:p>
    <w:p>
      <w:pPr>
        <w:pStyle w:val="Normal"/>
        <w:spacing w:before="60" w:after="0"/>
        <w:rPr>
          <w:sz w:val="24"/>
          <w:szCs w:val="24"/>
        </w:rPr>
      </w:pPr>
      <w:r>
        <w:rPr>
          <w:sz w:val="24"/>
          <w:szCs w:val="24"/>
        </w:rPr>
      </w:r>
    </w:p>
    <w:p>
      <w:pPr>
        <w:pStyle w:val="Normal"/>
        <w:spacing w:before="60" w:after="0"/>
        <w:rPr>
          <w:sz w:val="24"/>
          <w:szCs w:val="24"/>
        </w:rPr>
      </w:pPr>
      <w:r>
        <w:rPr>
          <w:sz w:val="24"/>
          <w:szCs w:val="24"/>
        </w:rPr>
      </w:r>
    </w:p>
    <w:p>
      <w:pPr>
        <w:pStyle w:val="Normal"/>
        <w:spacing w:before="60" w:after="0"/>
        <w:rPr>
          <w:sz w:val="24"/>
          <w:szCs w:val="24"/>
        </w:rPr>
      </w:pPr>
      <w:r>
        <w:rPr>
          <w:sz w:val="24"/>
          <w:szCs w:val="24"/>
        </w:rPr>
      </w:r>
    </w:p>
    <w:p>
      <w:pPr>
        <w:pStyle w:val="Normal"/>
        <w:rPr/>
      </w:pPr>
      <w:r>
        <w:rPr/>
      </w:r>
    </w:p>
    <w:sectPr>
      <w:headerReference w:type="default" r:id="rId2"/>
      <w:footerReference w:type="default" r:id="rId3"/>
      <w:type w:val="nextPage"/>
      <w:pgSz w:w="11906" w:h="16838"/>
      <w:pgMar w:left="1806" w:right="1806" w:header="720" w:top="1440" w:footer="720" w:bottom="1806"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Times New Roman">
    <w:charset w:val="01"/>
    <w:family w:val="roman"/>
    <w:pitch w:val="variable"/>
  </w:font>
  <w:font w:name="Liberation Sans">
    <w:altName w:val="Arial"/>
    <w:charset w:val="01"/>
    <w:family w:val="swiss"/>
    <w:pitch w:val="variable"/>
  </w:font>
  <w:font w:name="Times">
    <w:altName w:val="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val="false"/>
      <w:jc w:val="cen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pBdr/>
      <w:rPr/>
    </w:pPr>
    <w:r>
      <w:rPr/>
    </w:r>
  </w:p>
</w:hdr>
</file>

<file path=word/settings.xml><?xml version="1.0" encoding="utf-8"?>
<w:settings xmlns:w="http://schemas.openxmlformats.org/wordprocessingml/2006/main">
  <w:zoom w:percent="140"/>
  <w:defaultTabStop w:val="720"/>
  <w:compat>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themeFontLang w:val="en-US" w:eastAsia="ko-KR"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MS Mincho" w:cs="Times New Roman"/>
        <w:lang w:val="en-US" w:eastAsia="ko-KR"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semiHidden="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semiHidden="1" w:unhideWhenUsed="1"/>
    <w:lsdException w:name="TOC Heading" w:uiPriority="71"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0536b1"/>
    <w:pPr>
      <w:widowControl/>
      <w:bidi w:val="0"/>
      <w:jc w:val="both"/>
    </w:pPr>
    <w:rPr>
      <w:rFonts w:ascii="Times New Roman" w:hAnsi="Times New Roman" w:eastAsia="PMingLiU" w:cs="Times New Roman"/>
      <w:color w:val="auto"/>
      <w:sz w:val="22"/>
      <w:szCs w:val="22"/>
      <w:lang w:eastAsia="en-US" w:val="en-US" w:bidi="ar-SA"/>
    </w:rPr>
  </w:style>
  <w:style w:type="character" w:styleId="DefaultParagraphFont" w:default="1">
    <w:name w:val="Default Paragraph Font"/>
    <w:uiPriority w:val="1"/>
    <w:semiHidden/>
    <w:unhideWhenUsed/>
    <w:qFormat/>
    <w:rPr/>
  </w:style>
  <w:style w:type="character" w:styleId="BalloonTextChar" w:customStyle="1">
    <w:name w:val="Balloon Text Char"/>
    <w:link w:val="BalloonText"/>
    <w:uiPriority w:val="99"/>
    <w:semiHidden/>
    <w:qFormat/>
    <w:rsid w:val="000810b3"/>
    <w:rPr>
      <w:rFonts w:ascii="Cambria" w:hAnsi="Cambria" w:eastAsia="PMingLiU" w:cs="Times New Roman"/>
      <w:sz w:val="18"/>
      <w:szCs w:val="18"/>
      <w:lang w:eastAsia="en-US"/>
    </w:rPr>
  </w:style>
  <w:style w:type="character" w:styleId="HeaderChar" w:customStyle="1">
    <w:name w:val="Header Char"/>
    <w:link w:val="Header"/>
    <w:uiPriority w:val="99"/>
    <w:semiHidden/>
    <w:qFormat/>
    <w:rsid w:val="00461acd"/>
    <w:rPr>
      <w:rFonts w:ascii="Times New Roman" w:hAnsi="Times New Roman" w:eastAsia="PMingLiU"/>
      <w:sz w:val="18"/>
      <w:szCs w:val="18"/>
      <w:lang w:eastAsia="en-US"/>
    </w:rPr>
  </w:style>
  <w:style w:type="character" w:styleId="FooterChar" w:customStyle="1">
    <w:name w:val="Footer Char"/>
    <w:link w:val="Footer"/>
    <w:uiPriority w:val="99"/>
    <w:semiHidden/>
    <w:qFormat/>
    <w:rsid w:val="00461acd"/>
    <w:rPr>
      <w:rFonts w:ascii="Times New Roman" w:hAnsi="Times New Roman" w:eastAsia="PMingLiU"/>
      <w:sz w:val="18"/>
      <w:szCs w:val="18"/>
      <w:lang w:eastAsia="en-US"/>
    </w:rPr>
  </w:style>
  <w:style w:type="character" w:styleId="InternetLink">
    <w:name w:val="Internet Link"/>
    <w:uiPriority w:val="99"/>
    <w:unhideWhenUsed/>
    <w:rsid w:val="00461acd"/>
    <w:rPr>
      <w:color w:val="0000FF"/>
      <w:u w:val="single"/>
    </w:rPr>
  </w:style>
  <w:style w:type="character" w:styleId="FollowedHyperlink">
    <w:name w:val="FollowedHyperlink"/>
    <w:uiPriority w:val="99"/>
    <w:semiHidden/>
    <w:unhideWhenUsed/>
    <w:qFormat/>
    <w:rsid w:val="00a04e8a"/>
    <w:rPr>
      <w:color w:val="954F72"/>
      <w:u w:val="single"/>
    </w:rPr>
  </w:style>
  <w:style w:type="character" w:styleId="UnresolvedMention">
    <w:name w:val="Unresolved Mention"/>
    <w:uiPriority w:val="99"/>
    <w:semiHidden/>
    <w:unhideWhenUsed/>
    <w:qFormat/>
    <w:rsid w:val="00b03727"/>
    <w:rPr>
      <w:color w:val="605E5C"/>
      <w:shd w:fill="E1DFDD" w:val="clear"/>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BalloonText">
    <w:name w:val="Balloon Text"/>
    <w:basedOn w:val="Normal"/>
    <w:link w:val="BalloonTextChar"/>
    <w:uiPriority w:val="99"/>
    <w:semiHidden/>
    <w:unhideWhenUsed/>
    <w:qFormat/>
    <w:rsid w:val="000810b3"/>
    <w:pPr/>
    <w:rPr>
      <w:rFonts w:ascii="Cambria" w:hAnsi="Cambria"/>
      <w:sz w:val="18"/>
      <w:szCs w:val="18"/>
      <w:lang w:val="x-none"/>
    </w:rPr>
  </w:style>
  <w:style w:type="paragraph" w:styleId="Header">
    <w:name w:val="Header"/>
    <w:basedOn w:val="Normal"/>
    <w:link w:val="HeaderChar"/>
    <w:uiPriority w:val="99"/>
    <w:semiHidden/>
    <w:unhideWhenUsed/>
    <w:rsid w:val="00461acd"/>
    <w:pPr>
      <w:pBdr>
        <w:bottom w:val="single" w:sz="6" w:space="1" w:color="00000A"/>
      </w:pBdr>
      <w:tabs>
        <w:tab w:val="center" w:pos="4153" w:leader="none"/>
        <w:tab w:val="right" w:pos="8306" w:leader="none"/>
      </w:tabs>
      <w:snapToGrid w:val="false"/>
      <w:jc w:val="center"/>
    </w:pPr>
    <w:rPr>
      <w:sz w:val="18"/>
      <w:szCs w:val="18"/>
    </w:rPr>
  </w:style>
  <w:style w:type="paragraph" w:styleId="Footer">
    <w:name w:val="Footer"/>
    <w:basedOn w:val="Normal"/>
    <w:link w:val="FooterChar"/>
    <w:uiPriority w:val="99"/>
    <w:semiHidden/>
    <w:unhideWhenUsed/>
    <w:rsid w:val="00461acd"/>
    <w:pPr>
      <w:tabs>
        <w:tab w:val="center" w:pos="4153" w:leader="none"/>
        <w:tab w:val="right" w:pos="8306" w:leader="none"/>
      </w:tabs>
      <w:snapToGrid w:val="false"/>
      <w:jc w:val="left"/>
    </w:pPr>
    <w:rPr>
      <w:sz w:val="18"/>
      <w:szCs w:val="18"/>
    </w:rPr>
  </w:style>
  <w:style w:type="paragraph" w:styleId="Addresses" w:customStyle="1">
    <w:name w:val="Addresses"/>
    <w:basedOn w:val="Normal"/>
    <w:qFormat/>
    <w:rsid w:val="00cf1b02"/>
    <w:pPr>
      <w:jc w:val="left"/>
    </w:pPr>
    <w:rPr>
      <w:rFonts w:eastAsia="MS Mincho"/>
      <w:sz w:val="24"/>
      <w:szCs w:val="24"/>
      <w:lang w:eastAsia="ja-JP"/>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Application>LibreOffice/5.1.6.2$Linux_X86_64 LibreOffice_project/10m0$Build-2</Application>
  <Pages>1</Pages>
  <Words>265</Words>
  <Characters>1565</Characters>
  <CharactersWithSpaces>1821</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2018-07-04T07:38:00Z</dcterms:created>
  <dc:creator>TaeHyungKim</dc:creator>
  <dc:description/>
  <dc:language>en-US</dc:language>
  <cp:lastModifiedBy/>
  <cp:lastPrinted>2012-08-01T05:35:00Z</cp:lastPrinted>
  <dcterms:modified xsi:type="dcterms:W3CDTF">2018-09-26T15:14:49Z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